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7E" w:rsidRPr="00F8727E" w:rsidRDefault="00F8727E" w:rsidP="00F8727E">
      <w:pPr>
        <w:shd w:val="clear" w:color="auto" w:fill="FFFFFF"/>
        <w:spacing w:after="0" w:line="450" w:lineRule="atLeast"/>
        <w:textAlignment w:val="baseline"/>
        <w:outlineLvl w:val="0"/>
        <w:rPr>
          <w:rFonts w:ascii="Arial" w:eastAsia="Times New Roman" w:hAnsi="Arial" w:cs="Arial"/>
          <w:b/>
          <w:bCs/>
          <w:noProof/>
          <w:color w:val="C94C00"/>
          <w:kern w:val="36"/>
          <w:sz w:val="45"/>
          <w:szCs w:val="45"/>
        </w:rPr>
      </w:pPr>
      <w:r w:rsidRPr="00F8727E">
        <w:rPr>
          <w:rFonts w:ascii="Arial" w:eastAsia="Times New Roman" w:hAnsi="Arial" w:cs="Arial"/>
          <w:b/>
          <w:bCs/>
          <w:noProof/>
          <w:color w:val="C94C00"/>
          <w:kern w:val="36"/>
          <w:sz w:val="45"/>
          <w:szCs w:val="45"/>
        </w:rPr>
        <w:t>Cell Culture Media Optimization: Making the perfect magical potion</w:t>
      </w:r>
    </w:p>
    <w:p w:rsidR="00DE436A" w:rsidRPr="00F8727E" w:rsidRDefault="00F8727E">
      <w:pPr>
        <w:rPr>
          <w:rStyle w:val="Strong"/>
          <w:rFonts w:ascii="Arial" w:hAnsi="Arial" w:cs="Arial"/>
          <w:noProof/>
          <w:color w:val="5F5F5F"/>
          <w:sz w:val="21"/>
          <w:szCs w:val="21"/>
          <w:bdr w:val="none" w:sz="0" w:space="0" w:color="auto" w:frame="1"/>
          <w:shd w:val="clear" w:color="auto" w:fill="FFFFFF"/>
        </w:rPr>
      </w:pPr>
      <w:r w:rsidRPr="00F8727E">
        <w:rPr>
          <w:rStyle w:val="Strong"/>
          <w:rFonts w:ascii="Arial" w:hAnsi="Arial" w:cs="Arial"/>
          <w:noProof/>
          <w:color w:val="5F5F5F"/>
          <w:sz w:val="21"/>
          <w:szCs w:val="21"/>
          <w:bdr w:val="none" w:sz="0" w:space="0" w:color="auto" w:frame="1"/>
          <w:shd w:val="clear" w:color="auto" w:fill="FFFFFF"/>
        </w:rPr>
        <w:t>by Randall Alfano, Ph.D., Cell Culture Scientist, InVitria </w:t>
      </w:r>
    </w:p>
    <w:p w:rsidR="00F8727E" w:rsidRPr="00F8727E" w:rsidRDefault="00F8727E">
      <w:pPr>
        <w:rPr>
          <w:rFonts w:ascii="Arial" w:hAnsi="Arial" w:cs="Arial"/>
          <w:b/>
          <w:bCs/>
          <w:noProof/>
          <w:color w:val="5F5F5F"/>
          <w:spacing w:val="23"/>
          <w:sz w:val="23"/>
          <w:szCs w:val="23"/>
          <w:shd w:val="clear" w:color="auto" w:fill="FFFFFF"/>
        </w:rPr>
      </w:pPr>
      <w:r w:rsidRPr="00F8727E">
        <w:rPr>
          <w:rFonts w:ascii="Arial" w:hAnsi="Arial" w:cs="Arial"/>
          <w:b/>
          <w:bCs/>
          <w:noProof/>
          <w:color w:val="5F5F5F"/>
          <w:spacing w:val="23"/>
          <w:sz w:val="23"/>
          <w:szCs w:val="23"/>
          <w:shd w:val="clear" w:color="auto" w:fill="FFFFFF"/>
        </w:rPr>
        <w:t>Current Cell Cultivation Strategies and Future Trends in the Ever Advancing Stem Cell Therapy Space – A Step by Step Guide</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In our first cell therapy blog of 2015,</w:t>
      </w:r>
      <w:r w:rsidRPr="00D5614C">
        <w:rPr>
          <w:rStyle w:val="apple-converted-space"/>
          <w:rFonts w:ascii="Arial" w:hAnsi="Arial" w:cs="Arial"/>
          <w:noProof/>
          <w:sz w:val="21"/>
          <w:szCs w:val="21"/>
        </w:rPr>
        <w:t> </w:t>
      </w:r>
      <w:hyperlink r:id="rId5" w:history="1">
        <w:r w:rsidRPr="00D5614C">
          <w:rPr>
            <w:rStyle w:val="Hyperlink"/>
            <w:rFonts w:ascii="inherit" w:eastAsiaTheme="majorEastAsia" w:hAnsi="inherit" w:cs="Arial"/>
            <w:noProof/>
            <w:color w:val="auto"/>
            <w:sz w:val="21"/>
            <w:szCs w:val="21"/>
            <w:bdr w:val="none" w:sz="0" w:space="0" w:color="auto" w:frame="1"/>
          </w:rPr>
          <w:t>“Cell Therapy: Are we there yet?,</w:t>
        </w:r>
        <w:r w:rsidRPr="00D5614C">
          <w:rPr>
            <w:rStyle w:val="apple-converted-space"/>
            <w:rFonts w:ascii="inherit" w:hAnsi="inherit" w:cs="Arial"/>
            <w:noProof/>
            <w:sz w:val="21"/>
            <w:szCs w:val="21"/>
            <w:bdr w:val="none" w:sz="0" w:space="0" w:color="auto" w:frame="1"/>
          </w:rPr>
          <w:t> </w:t>
        </w:r>
      </w:hyperlink>
      <w:r w:rsidRPr="00D5614C">
        <w:rPr>
          <w:rFonts w:ascii="Arial" w:hAnsi="Arial" w:cs="Arial"/>
          <w:noProof/>
          <w:sz w:val="21"/>
          <w:szCs w:val="21"/>
        </w:rPr>
        <w:t>some of the major cell types that are under commercial development as well as some of the key clinical indications were described. Although the vast curative potential of this expanding industry is exciting, new challenges are also becoming apparent for the cell therapy space. Primarily, how do you meet the demand for a consistently performing high quality cell product that is by nature extremely sophisticated and can be, depending on the cell type, susceptible to spontaneous changes that may affect product performance?</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Successful commercialization is in reality the end result of a multiple variable function that constantly juggles product quality, yield and consistency versus the cost to produce that product, known to the bean counters as the “cost of goods manufactured”. This figure is used to calculate the all-important “cost of goods sold” which determines the gross margin for any given operation. Thus, commercial viability of a product, i.e. healthy margins that translate to respectable profits and ultimately happy bosses, is absolutely dependent on keeping the cost of goods manufactured low while maintaining the highest quality product possible.</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But where and how does all this business talk fit into manufacturing a cell product? The success of a cell product manufacturing process is gauged by the viable cell number post isolation/expansion, cell health, and the percentage of cells expressing the correct phenotype and functionality. In other words, how many phenotypically acceptable functional cells can be produced in a single manufacturing run? Two main factors represent the key productivity drivers as well as the primary cost components of a cell manufacturing process and are worth discussing in detail: cell expansion media and the vessel in which the cells are expanded. For now, we will focus on the expansion medium as culture vessels will be the topic of a future blog.</w:t>
      </w:r>
    </w:p>
    <w:p w:rsidR="00F8727E" w:rsidRPr="00D5614C" w:rsidRDefault="00F8727E" w:rsidP="00F8727E">
      <w:pPr>
        <w:pStyle w:val="Heading2"/>
        <w:shd w:val="clear" w:color="auto" w:fill="FFFFFF"/>
        <w:spacing w:before="0" w:line="270" w:lineRule="atLeast"/>
        <w:textAlignment w:val="baseline"/>
        <w:rPr>
          <w:rFonts w:ascii="Arial" w:hAnsi="Arial" w:cs="Arial"/>
          <w:noProof/>
          <w:color w:val="auto"/>
          <w:spacing w:val="24"/>
          <w:sz w:val="27"/>
          <w:szCs w:val="27"/>
        </w:rPr>
      </w:pPr>
      <w:r w:rsidRPr="00D5614C">
        <w:rPr>
          <w:rStyle w:val="Strong"/>
          <w:rFonts w:ascii="inherit" w:hAnsi="inherit" w:cs="Arial"/>
          <w:b/>
          <w:bCs/>
          <w:noProof/>
          <w:color w:val="auto"/>
          <w:spacing w:val="24"/>
          <w:sz w:val="27"/>
          <w:szCs w:val="27"/>
          <w:u w:val="single"/>
          <w:bdr w:val="none" w:sz="0" w:space="0" w:color="auto" w:frame="1"/>
        </w:rPr>
        <w:t>Cell Culture Media: Creating the Perfect “Magical Potion”</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A properly optimized cell culture media is capable of supporting high cell density with minimal changes in cellular phenotype and thus resulting in a highly pure population with exceptional bioactivity. On the other end of the spectrum, a poorly performing media can have devastating consequences for a manufacturing process. Given its vital importance in biomanufacturing combined with the typical formulation complexity that is shrouded in secrecy, working to optimize a cell culture media can sometimes seem like creating a “magical potion”.</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 xml:space="preserve">To add another layer of unwanted complication to the already convoluted enigma that is cell culture media, certain labels such as “xeno-free” and “chemically-defined” have emerged in recent years in an attempt to classify different types of media based on the source of ingredients. Although this may have seemed like a good idea to delineate the media, the lack of standardization of what these terms actually mean has led to a mass confusion within the industry. Does “xeno-free” mean animal and human free? Are humans not considered animals? Does “chemically-defined” mean the media is </w:t>
      </w:r>
      <w:r w:rsidRPr="00D5614C">
        <w:rPr>
          <w:rFonts w:ascii="Arial" w:hAnsi="Arial" w:cs="Arial"/>
          <w:noProof/>
          <w:sz w:val="21"/>
          <w:szCs w:val="21"/>
        </w:rPr>
        <w:lastRenderedPageBreak/>
        <w:t>absolutely free of proteins? Is fairy dust and unicorn tears considered to be either xeno-free and/or chemically defined?</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Here, we hope to break some of the mystery surrounding cell culture media by describing the components and varying degrees of media definition and regulatory compliance as well as a general strategy to optimize a serum-containing medium to a completely animal-free high performance media. Ultimately, the information described here will lead to better performing, more regulatory-friendly media while simultaneously reducing the cost of doing cell culture, giving more beans to the guys who count them.</w:t>
      </w:r>
    </w:p>
    <w:p w:rsidR="00F8727E" w:rsidRPr="00D5614C" w:rsidRDefault="00F8727E" w:rsidP="00F8727E">
      <w:pPr>
        <w:pStyle w:val="Heading3"/>
        <w:shd w:val="clear" w:color="auto" w:fill="FFFFFF"/>
        <w:spacing w:before="0" w:line="270" w:lineRule="atLeast"/>
        <w:textAlignment w:val="baseline"/>
        <w:rPr>
          <w:rFonts w:ascii="Arial" w:hAnsi="Arial" w:cs="Arial"/>
          <w:noProof/>
          <w:color w:val="auto"/>
          <w:spacing w:val="24"/>
          <w:sz w:val="23"/>
          <w:szCs w:val="23"/>
        </w:rPr>
      </w:pPr>
      <w:r w:rsidRPr="00D5614C">
        <w:rPr>
          <w:rStyle w:val="Strong"/>
          <w:rFonts w:ascii="inherit" w:hAnsi="inherit" w:cs="Arial"/>
          <w:b/>
          <w:bCs/>
          <w:noProof/>
          <w:color w:val="auto"/>
          <w:spacing w:val="24"/>
          <w:sz w:val="23"/>
          <w:szCs w:val="23"/>
          <w:u w:val="single"/>
          <w:bdr w:val="none" w:sz="0" w:space="0" w:color="auto" w:frame="1"/>
        </w:rPr>
        <w:t>Simplifying the Magical Potion – Step by Step</w:t>
      </w:r>
    </w:p>
    <w:p w:rsidR="00F8727E" w:rsidRPr="00D5614C" w:rsidRDefault="00F8727E" w:rsidP="00F8727E">
      <w:pPr>
        <w:pStyle w:val="Heading4"/>
        <w:shd w:val="clear" w:color="auto" w:fill="FFFFFF"/>
        <w:spacing w:before="0" w:after="150" w:line="270" w:lineRule="atLeast"/>
        <w:textAlignment w:val="baseline"/>
        <w:rPr>
          <w:rFonts w:ascii="Arial" w:hAnsi="Arial" w:cs="Arial"/>
          <w:noProof/>
          <w:color w:val="auto"/>
          <w:sz w:val="21"/>
          <w:szCs w:val="21"/>
        </w:rPr>
      </w:pPr>
      <w:r w:rsidRPr="00D5614C">
        <w:rPr>
          <w:rFonts w:ascii="Arial" w:hAnsi="Arial" w:cs="Arial"/>
          <w:noProof/>
          <w:color w:val="auto"/>
          <w:sz w:val="21"/>
          <w:szCs w:val="21"/>
        </w:rPr>
        <w:t>Serum: Where the Magic Happens</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Traditionally, cell culture media consisted of a basal media that provided amino acids, vitamins, metal salts, buffers, and organic compounds mixed with 10-20% fetal bovine serum. Since formulations of basal media were known, it has been well-accepted that the serum component provided that magical kick cells need</w:t>
      </w:r>
      <w:r w:rsidRPr="00D5614C">
        <w:rPr>
          <w:rStyle w:val="apple-converted-space"/>
          <w:rFonts w:ascii="Arial" w:hAnsi="Arial" w:cs="Arial"/>
          <w:noProof/>
          <w:sz w:val="21"/>
          <w:szCs w:val="21"/>
        </w:rPr>
        <w:t> </w:t>
      </w:r>
      <w:r w:rsidRPr="00D5614C">
        <w:rPr>
          <w:rStyle w:val="Emphasis"/>
          <w:rFonts w:ascii="inherit" w:hAnsi="inherit" w:cs="Arial"/>
          <w:noProof/>
          <w:sz w:val="21"/>
          <w:szCs w:val="21"/>
          <w:bdr w:val="none" w:sz="0" w:space="0" w:color="auto" w:frame="1"/>
        </w:rPr>
        <w:t>in vitro</w:t>
      </w:r>
      <w:r w:rsidRPr="00D5614C">
        <w:rPr>
          <w:rStyle w:val="apple-converted-space"/>
          <w:rFonts w:ascii="inherit" w:hAnsi="inherit" w:cs="Arial"/>
          <w:i/>
          <w:iCs/>
          <w:noProof/>
          <w:sz w:val="21"/>
          <w:szCs w:val="21"/>
          <w:bdr w:val="none" w:sz="0" w:space="0" w:color="auto" w:frame="1"/>
        </w:rPr>
        <w:t> </w:t>
      </w:r>
      <w:r w:rsidRPr="00D5614C">
        <w:rPr>
          <w:rFonts w:ascii="Arial" w:hAnsi="Arial" w:cs="Arial"/>
          <w:noProof/>
          <w:sz w:val="21"/>
          <w:szCs w:val="21"/>
        </w:rPr>
        <w:t>by supplying growth factors, extracellular matrix, and other undefined factors. Although more than adequate for the general cell culture lab, current regulatory guidelines suggest the removal of as many of these animal blood-derived products as possible for any clinical application for 2 reasons. First and foremost, the presence of blood-derived products significantly enhances the risk for viral or prion contamination in the final cell product. This can have devastating, potentially product development-ending consequences. Secondly, from a CMC point of view, blood-derived raw materials may introduce variability into the manufacturing process and thus compromise the desired level of process robustness and reliability. Reduced reliability may translate to an elevated incidence of failed or rejected lots, which can increase the cost of the final cell product. This takes away beans from the counters.</w:t>
      </w:r>
    </w:p>
    <w:p w:rsidR="00F8727E" w:rsidRPr="00D5614C" w:rsidRDefault="00F8727E" w:rsidP="00F8727E">
      <w:pPr>
        <w:pStyle w:val="Heading4"/>
        <w:shd w:val="clear" w:color="auto" w:fill="FFFFFF"/>
        <w:spacing w:before="0" w:line="270" w:lineRule="atLeast"/>
        <w:textAlignment w:val="baseline"/>
        <w:rPr>
          <w:rFonts w:ascii="Arial" w:hAnsi="Arial" w:cs="Arial"/>
          <w:noProof/>
          <w:color w:val="auto"/>
          <w:sz w:val="21"/>
          <w:szCs w:val="21"/>
        </w:rPr>
      </w:pPr>
      <w:r w:rsidRPr="00D5614C">
        <w:rPr>
          <w:rStyle w:val="Strong"/>
          <w:rFonts w:ascii="inherit" w:hAnsi="inherit" w:cs="Arial"/>
          <w:b/>
          <w:bCs/>
          <w:noProof/>
          <w:color w:val="auto"/>
          <w:sz w:val="21"/>
          <w:szCs w:val="21"/>
          <w:bdr w:val="none" w:sz="0" w:space="0" w:color="auto" w:frame="1"/>
        </w:rPr>
        <w:t>Reducing Serum in Media</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Removing an extremely complex ingredient like serum from a cell culture expansion protocol can seem like a daunting challenge. But it’s actually a bit easier than one might expect. A simple first step to reduce the amount of serum that your expansion protocol would require includes adding the supplement</w:t>
      </w:r>
      <w:r w:rsidRPr="00D5614C">
        <w:rPr>
          <w:rStyle w:val="apple-converted-space"/>
          <w:rFonts w:ascii="Arial" w:hAnsi="Arial" w:cs="Arial"/>
          <w:noProof/>
          <w:sz w:val="21"/>
          <w:szCs w:val="21"/>
        </w:rPr>
        <w:t> </w:t>
      </w:r>
      <w:hyperlink r:id="rId6" w:history="1">
        <w:r w:rsidRPr="00D5614C">
          <w:rPr>
            <w:rStyle w:val="Hyperlink"/>
            <w:rFonts w:ascii="inherit" w:eastAsiaTheme="majorEastAsia" w:hAnsi="inherit" w:cs="Arial"/>
            <w:noProof/>
            <w:color w:val="auto"/>
            <w:sz w:val="21"/>
            <w:szCs w:val="21"/>
            <w:bdr w:val="none" w:sz="0" w:space="0" w:color="auto" w:frame="1"/>
          </w:rPr>
          <w:t>Zap-SR</w:t>
        </w:r>
      </w:hyperlink>
      <w:r w:rsidRPr="00D5614C">
        <w:rPr>
          <w:rFonts w:ascii="Arial" w:hAnsi="Arial" w:cs="Arial"/>
          <w:noProof/>
          <w:sz w:val="21"/>
          <w:szCs w:val="21"/>
        </w:rPr>
        <w:t>, a novel serum reducer, to a medium containing 50-80% reduced serum.</w:t>
      </w:r>
      <w:r w:rsidRPr="00D5614C">
        <w:rPr>
          <w:rStyle w:val="apple-converted-space"/>
          <w:rFonts w:ascii="Arial" w:hAnsi="Arial" w:cs="Arial"/>
          <w:noProof/>
          <w:sz w:val="21"/>
          <w:szCs w:val="21"/>
        </w:rPr>
        <w:t> </w:t>
      </w:r>
      <w:hyperlink r:id="rId7" w:history="1">
        <w:r w:rsidRPr="00D5614C">
          <w:rPr>
            <w:rStyle w:val="Hyperlink"/>
            <w:rFonts w:ascii="inherit" w:eastAsiaTheme="majorEastAsia" w:hAnsi="inherit" w:cs="Arial"/>
            <w:noProof/>
            <w:color w:val="auto"/>
            <w:sz w:val="21"/>
            <w:szCs w:val="21"/>
            <w:bdr w:val="none" w:sz="0" w:space="0" w:color="auto" w:frame="1"/>
          </w:rPr>
          <w:t>Zap-SR</w:t>
        </w:r>
      </w:hyperlink>
      <w:r w:rsidRPr="00D5614C">
        <w:rPr>
          <w:rStyle w:val="apple-converted-space"/>
          <w:rFonts w:ascii="Arial" w:hAnsi="Arial" w:cs="Arial"/>
          <w:noProof/>
          <w:sz w:val="21"/>
          <w:szCs w:val="21"/>
        </w:rPr>
        <w:t> </w:t>
      </w:r>
      <w:r w:rsidRPr="00D5614C">
        <w:rPr>
          <w:rFonts w:ascii="Arial" w:hAnsi="Arial" w:cs="Arial"/>
          <w:noProof/>
          <w:sz w:val="21"/>
          <w:szCs w:val="21"/>
        </w:rPr>
        <w:t>contains only a handful, yet extremely critical, components typically found in serum at high concentrations. Thus,</w:t>
      </w:r>
      <w:r w:rsidRPr="00D5614C">
        <w:rPr>
          <w:rStyle w:val="apple-converted-space"/>
          <w:rFonts w:ascii="Arial" w:hAnsi="Arial" w:cs="Arial"/>
          <w:noProof/>
          <w:sz w:val="21"/>
          <w:szCs w:val="21"/>
        </w:rPr>
        <w:t> </w:t>
      </w:r>
      <w:hyperlink r:id="rId8" w:history="1">
        <w:r w:rsidRPr="00D5614C">
          <w:rPr>
            <w:rStyle w:val="Hyperlink"/>
            <w:rFonts w:ascii="inherit" w:eastAsiaTheme="majorEastAsia" w:hAnsi="inherit" w:cs="Arial"/>
            <w:noProof/>
            <w:color w:val="auto"/>
            <w:sz w:val="21"/>
            <w:szCs w:val="21"/>
            <w:bdr w:val="none" w:sz="0" w:space="0" w:color="auto" w:frame="1"/>
          </w:rPr>
          <w:t>Zap-SR</w:t>
        </w:r>
      </w:hyperlink>
      <w:r w:rsidRPr="00D5614C">
        <w:rPr>
          <w:rStyle w:val="apple-converted-space"/>
          <w:rFonts w:ascii="Arial" w:hAnsi="Arial" w:cs="Arial"/>
          <w:noProof/>
          <w:sz w:val="21"/>
          <w:szCs w:val="21"/>
        </w:rPr>
        <w:t> </w:t>
      </w:r>
      <w:r w:rsidRPr="00D5614C">
        <w:rPr>
          <w:rFonts w:ascii="Arial" w:hAnsi="Arial" w:cs="Arial"/>
          <w:noProof/>
          <w:sz w:val="21"/>
          <w:szCs w:val="21"/>
        </w:rPr>
        <w:t>can effectively reduce the amount of serum needed to propagate any given cell type. The ever rising</w:t>
      </w:r>
      <w:r w:rsidRPr="00D5614C">
        <w:rPr>
          <w:rStyle w:val="apple-converted-space"/>
          <w:rFonts w:ascii="Arial" w:hAnsi="Arial" w:cs="Arial"/>
          <w:noProof/>
          <w:sz w:val="21"/>
          <w:szCs w:val="21"/>
        </w:rPr>
        <w:t> </w:t>
      </w:r>
      <w:hyperlink r:id="rId9" w:history="1">
        <w:r w:rsidRPr="00D5614C">
          <w:rPr>
            <w:rStyle w:val="Hyperlink"/>
            <w:rFonts w:ascii="inherit" w:eastAsiaTheme="majorEastAsia" w:hAnsi="inherit" w:cs="Arial"/>
            <w:noProof/>
            <w:color w:val="auto"/>
            <w:sz w:val="21"/>
            <w:szCs w:val="21"/>
            <w:bdr w:val="none" w:sz="0" w:space="0" w:color="auto" w:frame="1"/>
          </w:rPr>
          <w:t>cost</w:t>
        </w:r>
      </w:hyperlink>
      <w:r w:rsidRPr="00D5614C">
        <w:rPr>
          <w:rStyle w:val="apple-converted-space"/>
          <w:rFonts w:ascii="Arial" w:hAnsi="Arial" w:cs="Arial"/>
          <w:noProof/>
          <w:sz w:val="21"/>
          <w:szCs w:val="21"/>
        </w:rPr>
        <w:t> </w:t>
      </w:r>
      <w:r w:rsidRPr="00D5614C">
        <w:rPr>
          <w:rFonts w:ascii="Arial" w:hAnsi="Arial" w:cs="Arial"/>
          <w:noProof/>
          <w:sz w:val="21"/>
          <w:szCs w:val="21"/>
        </w:rPr>
        <w:t>of serum due to the increased demand and</w:t>
      </w:r>
      <w:r w:rsidRPr="00D5614C">
        <w:rPr>
          <w:rStyle w:val="apple-converted-space"/>
          <w:rFonts w:ascii="Arial" w:hAnsi="Arial" w:cs="Arial"/>
          <w:noProof/>
          <w:sz w:val="21"/>
          <w:szCs w:val="21"/>
        </w:rPr>
        <w:t> </w:t>
      </w:r>
      <w:hyperlink r:id="rId10" w:history="1">
        <w:r w:rsidRPr="00D5614C">
          <w:rPr>
            <w:rStyle w:val="Hyperlink"/>
            <w:rFonts w:ascii="inherit" w:eastAsiaTheme="majorEastAsia" w:hAnsi="inherit" w:cs="Arial"/>
            <w:noProof/>
            <w:color w:val="auto"/>
            <w:sz w:val="21"/>
            <w:szCs w:val="21"/>
            <w:bdr w:val="none" w:sz="0" w:space="0" w:color="auto" w:frame="1"/>
          </w:rPr>
          <w:t>falling</w:t>
        </w:r>
      </w:hyperlink>
      <w:r w:rsidRPr="00D5614C">
        <w:rPr>
          <w:rStyle w:val="apple-converted-space"/>
          <w:rFonts w:ascii="Arial" w:hAnsi="Arial" w:cs="Arial"/>
          <w:noProof/>
          <w:sz w:val="21"/>
          <w:szCs w:val="21"/>
        </w:rPr>
        <w:t> </w:t>
      </w:r>
      <w:hyperlink r:id="rId11" w:history="1">
        <w:r w:rsidRPr="00D5614C">
          <w:rPr>
            <w:rStyle w:val="Hyperlink"/>
            <w:rFonts w:ascii="inherit" w:eastAsiaTheme="majorEastAsia" w:hAnsi="inherit" w:cs="Arial"/>
            <w:noProof/>
            <w:color w:val="auto"/>
            <w:sz w:val="21"/>
            <w:szCs w:val="21"/>
            <w:bdr w:val="none" w:sz="0" w:space="0" w:color="auto" w:frame="1"/>
          </w:rPr>
          <w:t>supply</w:t>
        </w:r>
      </w:hyperlink>
      <w:r w:rsidRPr="00D5614C">
        <w:rPr>
          <w:rStyle w:val="apple-converted-space"/>
          <w:rFonts w:ascii="Arial" w:hAnsi="Arial" w:cs="Arial"/>
          <w:noProof/>
          <w:sz w:val="21"/>
          <w:szCs w:val="21"/>
        </w:rPr>
        <w:t> </w:t>
      </w:r>
      <w:r w:rsidRPr="00D5614C">
        <w:rPr>
          <w:rFonts w:ascii="Arial" w:hAnsi="Arial" w:cs="Arial"/>
          <w:noProof/>
          <w:sz w:val="21"/>
          <w:szCs w:val="21"/>
        </w:rPr>
        <w:t>by the hands of Mother Nature makes</w:t>
      </w:r>
      <w:r w:rsidRPr="00D5614C">
        <w:rPr>
          <w:rStyle w:val="apple-converted-space"/>
          <w:rFonts w:ascii="Arial" w:hAnsi="Arial" w:cs="Arial"/>
          <w:noProof/>
          <w:sz w:val="21"/>
          <w:szCs w:val="21"/>
        </w:rPr>
        <w:t> </w:t>
      </w:r>
      <w:hyperlink r:id="rId12" w:history="1">
        <w:r w:rsidRPr="00D5614C">
          <w:rPr>
            <w:rStyle w:val="Hyperlink"/>
            <w:rFonts w:ascii="inherit" w:eastAsiaTheme="majorEastAsia" w:hAnsi="inherit" w:cs="Arial"/>
            <w:noProof/>
            <w:color w:val="auto"/>
            <w:sz w:val="21"/>
            <w:szCs w:val="21"/>
            <w:bdr w:val="none" w:sz="0" w:space="0" w:color="auto" w:frame="1"/>
          </w:rPr>
          <w:t>Zap-SR</w:t>
        </w:r>
      </w:hyperlink>
      <w:r w:rsidRPr="00D5614C">
        <w:rPr>
          <w:rStyle w:val="apple-converted-space"/>
          <w:rFonts w:ascii="Arial" w:hAnsi="Arial" w:cs="Arial"/>
          <w:noProof/>
          <w:sz w:val="21"/>
          <w:szCs w:val="21"/>
        </w:rPr>
        <w:t> </w:t>
      </w:r>
      <w:r w:rsidRPr="00D5614C">
        <w:rPr>
          <w:rFonts w:ascii="Arial" w:hAnsi="Arial" w:cs="Arial"/>
          <w:noProof/>
          <w:sz w:val="21"/>
          <w:szCs w:val="21"/>
        </w:rPr>
        <w:t>an attractive start to begin the process of removing undefined components in your cell culture media. Not convinced enough to give it a try? Using an optimized level of</w:t>
      </w:r>
      <w:r w:rsidRPr="00D5614C">
        <w:rPr>
          <w:rStyle w:val="apple-converted-space"/>
          <w:rFonts w:ascii="Arial" w:hAnsi="Arial" w:cs="Arial"/>
          <w:noProof/>
          <w:sz w:val="21"/>
          <w:szCs w:val="21"/>
        </w:rPr>
        <w:t> </w:t>
      </w:r>
      <w:hyperlink r:id="rId13" w:history="1">
        <w:r w:rsidRPr="00D5614C">
          <w:rPr>
            <w:rStyle w:val="Hyperlink"/>
            <w:rFonts w:ascii="inherit" w:eastAsiaTheme="majorEastAsia" w:hAnsi="inherit" w:cs="Arial"/>
            <w:noProof/>
            <w:color w:val="auto"/>
            <w:sz w:val="21"/>
            <w:szCs w:val="21"/>
            <w:bdr w:val="none" w:sz="0" w:space="0" w:color="auto" w:frame="1"/>
          </w:rPr>
          <w:t>Zap-SR</w:t>
        </w:r>
      </w:hyperlink>
      <w:r w:rsidRPr="00D5614C">
        <w:rPr>
          <w:rStyle w:val="apple-converted-space"/>
          <w:rFonts w:ascii="Arial" w:hAnsi="Arial" w:cs="Arial"/>
          <w:noProof/>
          <w:sz w:val="21"/>
          <w:szCs w:val="21"/>
        </w:rPr>
        <w:t> </w:t>
      </w:r>
      <w:r w:rsidRPr="00D5614C">
        <w:rPr>
          <w:rFonts w:ascii="Arial" w:hAnsi="Arial" w:cs="Arial"/>
          <w:noProof/>
          <w:sz w:val="21"/>
          <w:szCs w:val="21"/>
        </w:rPr>
        <w:t>and serum is actually cheaper than using the same basal medium that contains 10% serum. More beans have just been saved.</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But what if reduced serum isn’t good enough? What if the complete elimination of serum is the ultimate goal? No problem. The workflow to produce a completely serum free medium typically consists of dissecting the complete medium into three separate compartments: 1. the protein supplement, 2. the basal medium, and 3. the attachment matrix, which need to be optimized independently and typically takes 3-6 months to complete.</w:t>
      </w:r>
    </w:p>
    <w:p w:rsidR="00F8727E" w:rsidRPr="00D5614C" w:rsidRDefault="00F8727E" w:rsidP="00F8727E">
      <w:pPr>
        <w:pStyle w:val="Heading4"/>
        <w:shd w:val="clear" w:color="auto" w:fill="FFFFFF"/>
        <w:spacing w:before="0" w:line="270" w:lineRule="atLeast"/>
        <w:textAlignment w:val="baseline"/>
        <w:rPr>
          <w:rFonts w:ascii="Arial" w:hAnsi="Arial" w:cs="Arial"/>
          <w:noProof/>
          <w:color w:val="auto"/>
          <w:sz w:val="21"/>
          <w:szCs w:val="21"/>
        </w:rPr>
      </w:pPr>
      <w:r w:rsidRPr="00D5614C">
        <w:rPr>
          <w:rStyle w:val="Strong"/>
          <w:rFonts w:ascii="inherit" w:hAnsi="inherit" w:cs="Arial"/>
          <w:b/>
          <w:bCs/>
          <w:noProof/>
          <w:color w:val="auto"/>
          <w:sz w:val="21"/>
          <w:szCs w:val="21"/>
          <w:bdr w:val="none" w:sz="0" w:space="0" w:color="auto" w:frame="1"/>
        </w:rPr>
        <w:t>Optimizing a Serum Free Media</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inherit" w:hAnsi="inherit" w:cs="Arial"/>
          <w:noProof/>
          <w:sz w:val="21"/>
          <w:szCs w:val="21"/>
          <w:u w:val="single"/>
          <w:bdr w:val="none" w:sz="0" w:space="0" w:color="auto" w:frame="1"/>
        </w:rPr>
        <w:t>The Protein Supplement: The First Stop in Optimization</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 xml:space="preserve">The protein supplement component of any serum free medium is the go-juice that supports high cellular proliferation, viability, inhibits (or encourages depending on the application) differentiation, and provides nutrient delivery to the cells. This medium compartment also represents about 95% of </w:t>
      </w:r>
      <w:r w:rsidRPr="00D5614C">
        <w:rPr>
          <w:rFonts w:ascii="Arial" w:hAnsi="Arial" w:cs="Arial"/>
          <w:noProof/>
          <w:sz w:val="21"/>
          <w:szCs w:val="21"/>
        </w:rPr>
        <w:lastRenderedPageBreak/>
        <w:t>the total cost of the medium. Thus, given the importance of and cost of this component, this is the first stop on the optimization train. Some crucial components to consider in this media compartment include albumin, transferrin, insulin, and specific cytokines that drive “stemness” and proliferation (i.e. bFGF) of your cell type.</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Serum albumin and transferrin represent an interesting fusion between science and marketing. Traditionally these 2 components, which are typically found at high concentrations in the medium, were sourced from bovine serum since it is relatively cheap. However, the advent of “xeno-free” media, which all bovine-derived components are substituted for human serum components, are now commercially available.</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Why use human serum-sourced components? The fact that these components are not from bovine serum is a win, right? Well, not really. Instead of worrying about</w:t>
      </w:r>
      <w:r w:rsidRPr="00D5614C">
        <w:rPr>
          <w:rStyle w:val="apple-converted-space"/>
          <w:rFonts w:ascii="Arial" w:hAnsi="Arial" w:cs="Arial"/>
          <w:noProof/>
          <w:sz w:val="21"/>
          <w:szCs w:val="21"/>
        </w:rPr>
        <w:t> </w:t>
      </w:r>
      <w:hyperlink r:id="rId14" w:history="1">
        <w:r w:rsidRPr="00D5614C">
          <w:rPr>
            <w:rStyle w:val="Hyperlink"/>
            <w:rFonts w:ascii="inherit" w:eastAsiaTheme="majorEastAsia" w:hAnsi="inherit" w:cs="Arial"/>
            <w:noProof/>
            <w:color w:val="auto"/>
            <w:sz w:val="21"/>
            <w:szCs w:val="21"/>
            <w:bdr w:val="none" w:sz="0" w:space="0" w:color="auto" w:frame="1"/>
          </w:rPr>
          <w:t>prion</w:t>
        </w:r>
      </w:hyperlink>
      <w:r w:rsidRPr="00D5614C">
        <w:rPr>
          <w:rStyle w:val="apple-converted-space"/>
          <w:rFonts w:ascii="Arial" w:hAnsi="Arial" w:cs="Arial"/>
          <w:noProof/>
          <w:sz w:val="21"/>
          <w:szCs w:val="21"/>
        </w:rPr>
        <w:t> </w:t>
      </w:r>
      <w:r w:rsidRPr="00D5614C">
        <w:rPr>
          <w:rFonts w:ascii="Arial" w:hAnsi="Arial" w:cs="Arial"/>
          <w:noProof/>
          <w:sz w:val="21"/>
          <w:szCs w:val="21"/>
        </w:rPr>
        <w:t>contamination from using bovine-derived proteins, you now have to verify the absence of a multitude of pathogens that could potentially contaminate your cell product. This can be circumvented by sourcing material only through approved</w:t>
      </w:r>
      <w:r w:rsidRPr="00D5614C">
        <w:rPr>
          <w:rStyle w:val="apple-converted-space"/>
          <w:rFonts w:ascii="Arial" w:hAnsi="Arial" w:cs="Arial"/>
          <w:noProof/>
          <w:sz w:val="21"/>
          <w:szCs w:val="21"/>
        </w:rPr>
        <w:t> </w:t>
      </w:r>
      <w:hyperlink r:id="rId15" w:history="1">
        <w:r w:rsidRPr="00D5614C">
          <w:rPr>
            <w:rStyle w:val="Hyperlink"/>
            <w:rFonts w:ascii="inherit" w:eastAsiaTheme="majorEastAsia" w:hAnsi="inherit" w:cs="Arial"/>
            <w:noProof/>
            <w:color w:val="auto"/>
            <w:sz w:val="21"/>
            <w:szCs w:val="21"/>
            <w:bdr w:val="none" w:sz="0" w:space="0" w:color="auto" w:frame="1"/>
          </w:rPr>
          <w:t>suppliers</w:t>
        </w:r>
      </w:hyperlink>
      <w:r w:rsidRPr="00D5614C">
        <w:rPr>
          <w:rFonts w:ascii="Arial" w:hAnsi="Arial" w:cs="Arial"/>
          <w:noProof/>
          <w:sz w:val="21"/>
          <w:szCs w:val="21"/>
        </w:rPr>
        <w:t>, which severely limits supply, as well as conducting consistent and costly</w:t>
      </w:r>
      <w:r w:rsidRPr="00D5614C">
        <w:rPr>
          <w:rStyle w:val="apple-converted-space"/>
          <w:rFonts w:ascii="Arial" w:hAnsi="Arial" w:cs="Arial"/>
          <w:noProof/>
          <w:sz w:val="21"/>
          <w:szCs w:val="21"/>
        </w:rPr>
        <w:t> </w:t>
      </w:r>
      <w:hyperlink r:id="rId16" w:history="1">
        <w:r w:rsidRPr="00D5614C">
          <w:rPr>
            <w:rStyle w:val="Hyperlink"/>
            <w:rFonts w:ascii="inherit" w:eastAsiaTheme="majorEastAsia" w:hAnsi="inherit" w:cs="Arial"/>
            <w:noProof/>
            <w:color w:val="auto"/>
            <w:sz w:val="21"/>
            <w:szCs w:val="21"/>
            <w:bdr w:val="none" w:sz="0" w:space="0" w:color="auto" w:frame="1"/>
          </w:rPr>
          <w:t>testing</w:t>
        </w:r>
      </w:hyperlink>
      <w:r w:rsidRPr="00D5614C">
        <w:rPr>
          <w:rStyle w:val="apple-converted-space"/>
          <w:rFonts w:ascii="Arial" w:hAnsi="Arial" w:cs="Arial"/>
          <w:noProof/>
          <w:sz w:val="21"/>
          <w:szCs w:val="21"/>
        </w:rPr>
        <w:t> </w:t>
      </w:r>
      <w:r w:rsidRPr="00D5614C">
        <w:rPr>
          <w:rFonts w:ascii="Arial" w:hAnsi="Arial" w:cs="Arial"/>
          <w:noProof/>
          <w:sz w:val="21"/>
          <w:szCs w:val="21"/>
        </w:rPr>
        <w:t>for a panel of</w:t>
      </w:r>
      <w:r w:rsidRPr="00D5614C">
        <w:rPr>
          <w:rStyle w:val="apple-converted-space"/>
          <w:rFonts w:ascii="Arial" w:hAnsi="Arial" w:cs="Arial"/>
          <w:noProof/>
          <w:sz w:val="21"/>
          <w:szCs w:val="21"/>
        </w:rPr>
        <w:t> </w:t>
      </w:r>
      <w:hyperlink r:id="rId17" w:history="1">
        <w:r w:rsidRPr="00D5614C">
          <w:rPr>
            <w:rStyle w:val="Hyperlink"/>
            <w:rFonts w:ascii="inherit" w:eastAsiaTheme="majorEastAsia" w:hAnsi="inherit" w:cs="Arial"/>
            <w:noProof/>
            <w:color w:val="auto"/>
            <w:sz w:val="21"/>
            <w:szCs w:val="21"/>
            <w:bdr w:val="none" w:sz="0" w:space="0" w:color="auto" w:frame="1"/>
          </w:rPr>
          <w:t>viruses</w:t>
        </w:r>
      </w:hyperlink>
      <w:r w:rsidRPr="00D5614C">
        <w:rPr>
          <w:rStyle w:val="apple-converted-space"/>
          <w:rFonts w:ascii="Arial" w:hAnsi="Arial" w:cs="Arial"/>
          <w:noProof/>
          <w:sz w:val="21"/>
          <w:szCs w:val="21"/>
        </w:rPr>
        <w:t> </w:t>
      </w:r>
      <w:r w:rsidRPr="00D5614C">
        <w:rPr>
          <w:rFonts w:ascii="Arial" w:hAnsi="Arial" w:cs="Arial"/>
          <w:noProof/>
          <w:sz w:val="21"/>
          <w:szCs w:val="21"/>
        </w:rPr>
        <w:t>including HIV, the ABC’s of Hepatitis, etc. However, these tests typically do not include new or</w:t>
      </w:r>
      <w:r w:rsidRPr="00D5614C">
        <w:rPr>
          <w:rStyle w:val="apple-converted-space"/>
          <w:rFonts w:ascii="Arial" w:hAnsi="Arial" w:cs="Arial"/>
          <w:noProof/>
          <w:sz w:val="21"/>
          <w:szCs w:val="21"/>
        </w:rPr>
        <w:t> </w:t>
      </w:r>
      <w:hyperlink r:id="rId18" w:history="1">
        <w:r w:rsidRPr="00D5614C">
          <w:rPr>
            <w:rStyle w:val="Hyperlink"/>
            <w:rFonts w:ascii="inherit" w:eastAsiaTheme="majorEastAsia" w:hAnsi="inherit" w:cs="Arial"/>
            <w:noProof/>
            <w:color w:val="auto"/>
            <w:sz w:val="21"/>
            <w:szCs w:val="21"/>
            <w:bdr w:val="none" w:sz="0" w:space="0" w:color="auto" w:frame="1"/>
          </w:rPr>
          <w:t>emerging</w:t>
        </w:r>
      </w:hyperlink>
      <w:r w:rsidRPr="00D5614C">
        <w:rPr>
          <w:rStyle w:val="apple-converted-space"/>
          <w:rFonts w:ascii="Arial" w:hAnsi="Arial" w:cs="Arial"/>
          <w:noProof/>
          <w:sz w:val="21"/>
          <w:szCs w:val="21"/>
        </w:rPr>
        <w:t> </w:t>
      </w:r>
      <w:r w:rsidRPr="00D5614C">
        <w:rPr>
          <w:rFonts w:ascii="Arial" w:hAnsi="Arial" w:cs="Arial"/>
          <w:noProof/>
          <w:sz w:val="21"/>
          <w:szCs w:val="21"/>
        </w:rPr>
        <w:t>viruses that may become apparent a few years down the road. Further, the well-known variability of serum-sourced raw materials can cause</w:t>
      </w:r>
      <w:r w:rsidRPr="00D5614C">
        <w:rPr>
          <w:rStyle w:val="apple-converted-space"/>
          <w:rFonts w:ascii="Arial" w:hAnsi="Arial" w:cs="Arial"/>
          <w:noProof/>
          <w:sz w:val="21"/>
          <w:szCs w:val="21"/>
        </w:rPr>
        <w:t> </w:t>
      </w:r>
      <w:hyperlink r:id="rId19" w:history="1">
        <w:r w:rsidRPr="00D5614C">
          <w:rPr>
            <w:rStyle w:val="Hyperlink"/>
            <w:rFonts w:ascii="inherit" w:eastAsiaTheme="majorEastAsia" w:hAnsi="inherit" w:cs="Arial"/>
            <w:noProof/>
            <w:color w:val="auto"/>
            <w:sz w:val="21"/>
            <w:szCs w:val="21"/>
            <w:bdr w:val="none" w:sz="0" w:space="0" w:color="auto" w:frame="1"/>
          </w:rPr>
          <w:t>reliability</w:t>
        </w:r>
      </w:hyperlink>
      <w:r w:rsidRPr="00D5614C">
        <w:rPr>
          <w:rStyle w:val="apple-converted-space"/>
          <w:rFonts w:ascii="Arial" w:hAnsi="Arial" w:cs="Arial"/>
          <w:noProof/>
          <w:sz w:val="21"/>
          <w:szCs w:val="21"/>
        </w:rPr>
        <w:t> </w:t>
      </w:r>
      <w:r w:rsidRPr="00D5614C">
        <w:rPr>
          <w:rFonts w:ascii="Arial" w:hAnsi="Arial" w:cs="Arial"/>
          <w:noProof/>
          <w:sz w:val="21"/>
          <w:szCs w:val="21"/>
        </w:rPr>
        <w:t>and</w:t>
      </w:r>
      <w:r w:rsidRPr="00D5614C">
        <w:rPr>
          <w:rStyle w:val="apple-converted-space"/>
          <w:rFonts w:ascii="Arial" w:hAnsi="Arial" w:cs="Arial"/>
          <w:noProof/>
          <w:sz w:val="21"/>
          <w:szCs w:val="21"/>
        </w:rPr>
        <w:t> </w:t>
      </w:r>
      <w:hyperlink r:id="rId20" w:history="1">
        <w:r w:rsidRPr="00D5614C">
          <w:rPr>
            <w:rStyle w:val="Hyperlink"/>
            <w:rFonts w:ascii="inherit" w:eastAsiaTheme="majorEastAsia" w:hAnsi="inherit" w:cs="Arial"/>
            <w:noProof/>
            <w:color w:val="auto"/>
            <w:sz w:val="21"/>
            <w:szCs w:val="21"/>
            <w:bdr w:val="none" w:sz="0" w:space="0" w:color="auto" w:frame="1"/>
          </w:rPr>
          <w:t>quality</w:t>
        </w:r>
      </w:hyperlink>
      <w:r w:rsidRPr="00D5614C">
        <w:rPr>
          <w:rStyle w:val="apple-converted-space"/>
          <w:rFonts w:ascii="Arial" w:hAnsi="Arial" w:cs="Arial"/>
          <w:noProof/>
          <w:sz w:val="21"/>
          <w:szCs w:val="21"/>
        </w:rPr>
        <w:t> </w:t>
      </w:r>
      <w:r w:rsidRPr="00D5614C">
        <w:rPr>
          <w:rFonts w:ascii="Arial" w:hAnsi="Arial" w:cs="Arial"/>
          <w:noProof/>
          <w:sz w:val="21"/>
          <w:szCs w:val="21"/>
        </w:rPr>
        <w:t>issues in the final cell product as stated above. This can be a pseudo-savings of beans in that the raw materials are cheap, but the consequences of bad starting material are expensive.</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So obviously, a recombinant albumin and transferrin are much more preferable in terms of safety and reliability. Inclusion of these recombinant proteins would yield a medium that does not include any human or bovine serum-sourced components, also known as an “animal free” medium. However, the exchange for this higher quality and safer medium is, in theory, the cost. As mentioned, albumin and transferrin are found at high concentrations in cell culture medium. And since recombinant proteins are typically 2-10x higher in cost versus serum-sourced, an animal free medium is just not economically viable, right? Too many beans? Not really. Albumin is a great example. InVitria’s recombinant albumin, known as</w:t>
      </w:r>
      <w:r w:rsidRPr="00D5614C">
        <w:rPr>
          <w:rStyle w:val="apple-converted-space"/>
          <w:rFonts w:ascii="Arial" w:hAnsi="Arial" w:cs="Arial"/>
          <w:noProof/>
          <w:sz w:val="21"/>
          <w:szCs w:val="21"/>
        </w:rPr>
        <w:t> </w:t>
      </w:r>
      <w:hyperlink r:id="rId21" w:history="1">
        <w:r w:rsidRPr="00D5614C">
          <w:rPr>
            <w:rStyle w:val="Hyperlink"/>
            <w:rFonts w:ascii="inherit" w:eastAsiaTheme="majorEastAsia" w:hAnsi="inherit" w:cs="Arial"/>
            <w:noProof/>
            <w:color w:val="auto"/>
            <w:sz w:val="21"/>
            <w:szCs w:val="21"/>
            <w:bdr w:val="none" w:sz="0" w:space="0" w:color="auto" w:frame="1"/>
          </w:rPr>
          <w:t>Cellastim</w:t>
        </w:r>
      </w:hyperlink>
      <w:r w:rsidRPr="00D5614C">
        <w:rPr>
          <w:rFonts w:ascii="Arial" w:hAnsi="Arial" w:cs="Arial"/>
          <w:noProof/>
          <w:sz w:val="21"/>
          <w:szCs w:val="21"/>
        </w:rPr>
        <w:t>, has been shown to exhibit significantly enhanced bioactivity and thus enabling lower final concentrations of albumin than serum-derived albumin. Transferrin, another critical component in serum free medium, is another compelling example. Native human transferrin, depending on the vendor and source will typically run somewhere between $400-700/gram.</w:t>
      </w:r>
      <w:r w:rsidRPr="00D5614C">
        <w:rPr>
          <w:rStyle w:val="apple-converted-space"/>
          <w:rFonts w:ascii="Arial" w:hAnsi="Arial" w:cs="Arial"/>
          <w:noProof/>
          <w:sz w:val="21"/>
          <w:szCs w:val="21"/>
        </w:rPr>
        <w:t> </w:t>
      </w:r>
      <w:hyperlink r:id="rId22" w:history="1">
        <w:r w:rsidRPr="00D5614C">
          <w:rPr>
            <w:rStyle w:val="Hyperlink"/>
            <w:rFonts w:ascii="inherit" w:eastAsiaTheme="majorEastAsia" w:hAnsi="inherit" w:cs="Arial"/>
            <w:noProof/>
            <w:color w:val="auto"/>
            <w:sz w:val="21"/>
            <w:szCs w:val="21"/>
            <w:bdr w:val="none" w:sz="0" w:space="0" w:color="auto" w:frame="1"/>
          </w:rPr>
          <w:t>Optiferrin</w:t>
        </w:r>
      </w:hyperlink>
      <w:r w:rsidRPr="00D5614C">
        <w:rPr>
          <w:rFonts w:ascii="Arial" w:hAnsi="Arial" w:cs="Arial"/>
          <w:noProof/>
          <w:sz w:val="21"/>
          <w:szCs w:val="21"/>
        </w:rPr>
        <w:t>, a recombinant human transferrin that exhibits equal</w:t>
      </w:r>
      <w:r w:rsidRPr="00D5614C">
        <w:rPr>
          <w:rStyle w:val="apple-converted-space"/>
          <w:rFonts w:ascii="Arial" w:hAnsi="Arial" w:cs="Arial"/>
          <w:noProof/>
          <w:sz w:val="21"/>
          <w:szCs w:val="21"/>
        </w:rPr>
        <w:t> </w:t>
      </w:r>
      <w:hyperlink r:id="rId23" w:history="1">
        <w:r w:rsidRPr="00D5614C">
          <w:rPr>
            <w:rStyle w:val="Hyperlink"/>
            <w:rFonts w:ascii="inherit" w:eastAsiaTheme="majorEastAsia" w:hAnsi="inherit" w:cs="Arial"/>
            <w:noProof/>
            <w:color w:val="auto"/>
            <w:sz w:val="21"/>
            <w:szCs w:val="21"/>
            <w:bdr w:val="none" w:sz="0" w:space="0" w:color="auto" w:frame="1"/>
          </w:rPr>
          <w:t>activity</w:t>
        </w:r>
      </w:hyperlink>
      <w:r w:rsidRPr="00D5614C">
        <w:rPr>
          <w:rStyle w:val="apple-converted-space"/>
          <w:rFonts w:ascii="Arial" w:hAnsi="Arial" w:cs="Arial"/>
          <w:noProof/>
          <w:sz w:val="21"/>
          <w:szCs w:val="21"/>
        </w:rPr>
        <w:t> </w:t>
      </w:r>
      <w:r w:rsidRPr="00D5614C">
        <w:rPr>
          <w:rFonts w:ascii="Arial" w:hAnsi="Arial" w:cs="Arial"/>
          <w:noProof/>
          <w:sz w:val="21"/>
          <w:szCs w:val="21"/>
        </w:rPr>
        <w:t>to human transferrin, is $325/gram. Combine these products with a high quality animal free recombinant insulin, antioxidants, and lipid precursors that are found in</w:t>
      </w:r>
      <w:r w:rsidRPr="00D5614C">
        <w:rPr>
          <w:rStyle w:val="apple-converted-space"/>
          <w:rFonts w:ascii="Arial" w:hAnsi="Arial" w:cs="Arial"/>
          <w:noProof/>
          <w:sz w:val="21"/>
          <w:szCs w:val="21"/>
        </w:rPr>
        <w:t> </w:t>
      </w:r>
      <w:hyperlink r:id="rId24" w:history="1">
        <w:r w:rsidRPr="00D5614C">
          <w:rPr>
            <w:rStyle w:val="Hyperlink"/>
            <w:rFonts w:ascii="inherit" w:eastAsiaTheme="majorEastAsia" w:hAnsi="inherit" w:cs="Arial"/>
            <w:noProof/>
            <w:color w:val="auto"/>
            <w:sz w:val="21"/>
            <w:szCs w:val="21"/>
            <w:bdr w:val="none" w:sz="0" w:space="0" w:color="auto" w:frame="1"/>
          </w:rPr>
          <w:t>ITSE</w:t>
        </w:r>
      </w:hyperlink>
      <w:r w:rsidRPr="00D5614C">
        <w:rPr>
          <w:rStyle w:val="apple-converted-space"/>
          <w:rFonts w:ascii="Arial" w:hAnsi="Arial" w:cs="Arial"/>
          <w:noProof/>
          <w:sz w:val="21"/>
          <w:szCs w:val="21"/>
        </w:rPr>
        <w:t> </w:t>
      </w:r>
      <w:r w:rsidRPr="00D5614C">
        <w:rPr>
          <w:rFonts w:ascii="Arial" w:hAnsi="Arial" w:cs="Arial"/>
          <w:noProof/>
          <w:sz w:val="21"/>
          <w:szCs w:val="21"/>
        </w:rPr>
        <w:t>and you are well on your way to a completely animal free medium without breaking the bank. This is what is known as a “win-win”, which makes the bean counters do summersaults.</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Cytokine supplementation, another crucial component of the protein supplement, is highly dependent on the cell type that is being expanded. However, there is a vast array of high quality animal free cytokines currently available on the market.</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Once the proper cytokines have been selected, it is recommended to individually titrate the</w:t>
      </w:r>
      <w:r w:rsidRPr="00D5614C">
        <w:rPr>
          <w:rStyle w:val="apple-converted-space"/>
          <w:rFonts w:ascii="Arial" w:hAnsi="Arial" w:cs="Arial"/>
          <w:noProof/>
          <w:sz w:val="21"/>
          <w:szCs w:val="21"/>
        </w:rPr>
        <w:t> </w:t>
      </w:r>
      <w:hyperlink r:id="rId25" w:history="1">
        <w:r w:rsidRPr="00D5614C">
          <w:rPr>
            <w:rStyle w:val="Hyperlink"/>
            <w:rFonts w:ascii="inherit" w:eastAsiaTheme="majorEastAsia" w:hAnsi="inherit" w:cs="Arial"/>
            <w:noProof/>
            <w:color w:val="auto"/>
            <w:sz w:val="21"/>
            <w:szCs w:val="21"/>
            <w:bdr w:val="none" w:sz="0" w:space="0" w:color="auto" w:frame="1"/>
          </w:rPr>
          <w:t>Cellastim</w:t>
        </w:r>
      </w:hyperlink>
      <w:r w:rsidRPr="00D5614C">
        <w:rPr>
          <w:rStyle w:val="apple-converted-space"/>
          <w:rFonts w:ascii="Arial" w:hAnsi="Arial" w:cs="Arial"/>
          <w:noProof/>
          <w:sz w:val="21"/>
          <w:szCs w:val="21"/>
        </w:rPr>
        <w:t> </w:t>
      </w:r>
      <w:r w:rsidRPr="00D5614C">
        <w:rPr>
          <w:rFonts w:ascii="Arial" w:hAnsi="Arial" w:cs="Arial"/>
          <w:noProof/>
          <w:sz w:val="21"/>
          <w:szCs w:val="21"/>
        </w:rPr>
        <w:t>(100 mg-1000 mg/L final),</w:t>
      </w:r>
      <w:r w:rsidRPr="00D5614C">
        <w:rPr>
          <w:rStyle w:val="apple-converted-space"/>
          <w:rFonts w:ascii="Arial" w:hAnsi="Arial" w:cs="Arial"/>
          <w:noProof/>
          <w:sz w:val="21"/>
          <w:szCs w:val="21"/>
        </w:rPr>
        <w:t> </w:t>
      </w:r>
      <w:hyperlink r:id="rId26" w:history="1">
        <w:r w:rsidRPr="00D5614C">
          <w:rPr>
            <w:rStyle w:val="Hyperlink"/>
            <w:rFonts w:ascii="inherit" w:eastAsiaTheme="majorEastAsia" w:hAnsi="inherit" w:cs="Arial"/>
            <w:noProof/>
            <w:color w:val="auto"/>
            <w:sz w:val="21"/>
            <w:szCs w:val="21"/>
            <w:bdr w:val="none" w:sz="0" w:space="0" w:color="auto" w:frame="1"/>
          </w:rPr>
          <w:t>Optiferrin</w:t>
        </w:r>
      </w:hyperlink>
      <w:r w:rsidRPr="00D5614C">
        <w:rPr>
          <w:rStyle w:val="apple-converted-space"/>
          <w:rFonts w:ascii="Arial" w:hAnsi="Arial" w:cs="Arial"/>
          <w:noProof/>
          <w:sz w:val="21"/>
          <w:szCs w:val="21"/>
        </w:rPr>
        <w:t> </w:t>
      </w:r>
      <w:r w:rsidRPr="00D5614C">
        <w:rPr>
          <w:rFonts w:ascii="Arial" w:hAnsi="Arial" w:cs="Arial"/>
          <w:noProof/>
          <w:sz w:val="21"/>
          <w:szCs w:val="21"/>
        </w:rPr>
        <w:t>(50-500 mg/L final),</w:t>
      </w:r>
      <w:r w:rsidRPr="00D5614C">
        <w:rPr>
          <w:rStyle w:val="apple-converted-space"/>
          <w:rFonts w:ascii="Arial" w:hAnsi="Arial" w:cs="Arial"/>
          <w:noProof/>
          <w:sz w:val="21"/>
          <w:szCs w:val="21"/>
        </w:rPr>
        <w:t> </w:t>
      </w:r>
      <w:hyperlink r:id="rId27" w:history="1">
        <w:r w:rsidRPr="00D5614C">
          <w:rPr>
            <w:rStyle w:val="Hyperlink"/>
            <w:rFonts w:ascii="inherit" w:eastAsiaTheme="majorEastAsia" w:hAnsi="inherit" w:cs="Arial"/>
            <w:noProof/>
            <w:color w:val="auto"/>
            <w:sz w:val="21"/>
            <w:szCs w:val="21"/>
            <w:bdr w:val="none" w:sz="0" w:space="0" w:color="auto" w:frame="1"/>
          </w:rPr>
          <w:t>ITSE</w:t>
        </w:r>
      </w:hyperlink>
      <w:r w:rsidRPr="00D5614C">
        <w:rPr>
          <w:rStyle w:val="apple-converted-space"/>
          <w:rFonts w:ascii="Arial" w:hAnsi="Arial" w:cs="Arial"/>
          <w:noProof/>
          <w:sz w:val="21"/>
          <w:szCs w:val="21"/>
        </w:rPr>
        <w:t> </w:t>
      </w:r>
      <w:r w:rsidRPr="00D5614C">
        <w:rPr>
          <w:rFonts w:ascii="Arial" w:hAnsi="Arial" w:cs="Arial"/>
          <w:noProof/>
          <w:sz w:val="21"/>
          <w:szCs w:val="21"/>
        </w:rPr>
        <w:t>(1-3x final), and cytokines (i.e. bFGF 1-20 ng/mL final) in the original basal medium that is not supplemented with serum. Follow the steps below to optimize the protein supplement:</w:t>
      </w:r>
    </w:p>
    <w:p w:rsidR="00F8727E" w:rsidRPr="00D5614C" w:rsidRDefault="00F8727E" w:rsidP="00F8727E">
      <w:pPr>
        <w:numPr>
          <w:ilvl w:val="0"/>
          <w:numId w:val="1"/>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Using cell growth as a marker, select the concentrations of each component mentioned above that lie between 50-100% of the saturation point.</w:t>
      </w:r>
    </w:p>
    <w:p w:rsidR="00F8727E" w:rsidRPr="00D5614C" w:rsidRDefault="00F8727E" w:rsidP="00F8727E">
      <w:pPr>
        <w:numPr>
          <w:ilvl w:val="0"/>
          <w:numId w:val="1"/>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lastRenderedPageBreak/>
        <w:t>Once concentration ranges of each component can be narrowed, use a Placket Burmann Matrix to identify major drivers of cell growth when the individual ingredients are combined.</w:t>
      </w:r>
    </w:p>
    <w:p w:rsidR="00F8727E" w:rsidRPr="00D5614C" w:rsidRDefault="00F8727E" w:rsidP="00F8727E">
      <w:pPr>
        <w:numPr>
          <w:ilvl w:val="0"/>
          <w:numId w:val="1"/>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Follow this with a Central Composite Design to simultaneously optimize the concentrations of these components.</w:t>
      </w:r>
    </w:p>
    <w:p w:rsidR="00F8727E" w:rsidRPr="00D5614C" w:rsidRDefault="00F8727E" w:rsidP="00F8727E">
      <w:pPr>
        <w:numPr>
          <w:ilvl w:val="0"/>
          <w:numId w:val="1"/>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After candidate formulations are derived from the Central Composite Design-derived mathematical model, confirm the model and select a candidate formulation with the desired characteristics, proper retention of stem markers, and cell functionality to proceed to the next step.</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After 4 experiments, a protein supplement that is completely void of any animal products is now formulated.</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inherit" w:hAnsi="inherit" w:cs="Arial"/>
          <w:noProof/>
          <w:sz w:val="21"/>
          <w:szCs w:val="21"/>
          <w:u w:val="single"/>
          <w:bdr w:val="none" w:sz="0" w:space="0" w:color="auto" w:frame="1"/>
        </w:rPr>
        <w:t>The Basal Medium: The Perfect Mate</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Optimization of the basal medium is the next phase of the process. This component provides the nutrition, energy sources, and buffering capacity for the cells. Having a properly optimized basal medium for the now optimized protein supplement is like matching the right transmission for that super charged high horsepower engine. A good match will enhance the performance of the protein supplement significantly. Since most stem cells start in a traditional basal medium, such as DMEM or DMEM/F12, it is relatively straightforward to use the existing basal medium as a starting point. However, it is worth noting that the use of serum hides a vast array of imperfections that a basal medium contains. Thus, every aspect of the basal medium must be considered and finely tuned to produce a robust serum free medium. Follow the steps below to formulate the perfect base for that optimized protein supplement:</w:t>
      </w:r>
    </w:p>
    <w:p w:rsidR="00F8727E" w:rsidRPr="00D5614C" w:rsidRDefault="00F8727E" w:rsidP="00F8727E">
      <w:pPr>
        <w:numPr>
          <w:ilvl w:val="0"/>
          <w:numId w:val="2"/>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Optimize the osmolarity (210-350 mOsm), sodium bicarbonate (500-3000 mg/L), and HEPES (1-30 mM) buffers. Identify optimal ranges of each component separately.</w:t>
      </w:r>
    </w:p>
    <w:p w:rsidR="00F8727E" w:rsidRPr="00D5614C" w:rsidRDefault="00F8727E" w:rsidP="00F8727E">
      <w:pPr>
        <w:numPr>
          <w:ilvl w:val="0"/>
          <w:numId w:val="2"/>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Once the variable ranges from above have been narrowed, these media characteristics are very much intertwined with one another and are fairly simple to optimize almost simultaneously. Use a central composite design as mentioned in the protein supplement section to determine the optimal level of each buffer and osmolarity.</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Subsequent optimization efforts should consist of fortifying the now optimally buffered base with additional components.</w:t>
      </w:r>
    </w:p>
    <w:p w:rsidR="00F8727E" w:rsidRPr="00D5614C" w:rsidRDefault="00F8727E" w:rsidP="00F8727E">
      <w:pPr>
        <w:numPr>
          <w:ilvl w:val="0"/>
          <w:numId w:val="3"/>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Check the amino acid and water-soluble vitamin consumption of the cells via spent media analysis to ensure adequate levels of each.</w:t>
      </w:r>
    </w:p>
    <w:p w:rsidR="00F8727E" w:rsidRPr="00D5614C" w:rsidRDefault="00F8727E" w:rsidP="00F8727E">
      <w:pPr>
        <w:numPr>
          <w:ilvl w:val="0"/>
          <w:numId w:val="3"/>
        </w:numPr>
        <w:shd w:val="clear" w:color="auto" w:fill="FFFFFF"/>
        <w:spacing w:after="0" w:line="270" w:lineRule="atLeast"/>
        <w:ind w:left="225"/>
        <w:textAlignment w:val="baseline"/>
        <w:rPr>
          <w:rFonts w:ascii="inherit" w:hAnsi="inherit" w:cs="Arial"/>
          <w:noProof/>
          <w:sz w:val="21"/>
          <w:szCs w:val="21"/>
        </w:rPr>
      </w:pPr>
      <w:r w:rsidRPr="00D5614C">
        <w:rPr>
          <w:rFonts w:ascii="inherit" w:hAnsi="inherit" w:cs="Arial"/>
          <w:noProof/>
          <w:sz w:val="21"/>
          <w:szCs w:val="21"/>
        </w:rPr>
        <w:t>Additional supplementation of antioxidants, polyamines, trace elements or defined mixtures, additional glutamine, or other synthetic hormones may be needed.</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By the end of the optimization of the basal medium, the project is 90% there. Again, you’ll want to confirm that your cells retain the proper phenotypic markers and are fully functional after you complete the basal media optimization.</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inherit" w:hAnsi="inherit" w:cs="Arial"/>
          <w:noProof/>
          <w:sz w:val="21"/>
          <w:szCs w:val="21"/>
          <w:u w:val="single"/>
          <w:bdr w:val="none" w:sz="0" w:space="0" w:color="auto" w:frame="1"/>
        </w:rPr>
        <w:t>The Attachment Matrix: The Finishing Touches</w:t>
      </w:r>
    </w:p>
    <w:p w:rsidR="00F8727E" w:rsidRPr="00D5614C" w:rsidRDefault="00F8727E" w:rsidP="00F8727E">
      <w:pPr>
        <w:pStyle w:val="NormalWeb"/>
        <w:shd w:val="clear" w:color="auto" w:fill="FFFFFF"/>
        <w:spacing w:before="0" w:beforeAutospacing="0" w:after="225" w:afterAutospacing="0" w:line="270" w:lineRule="atLeast"/>
        <w:textAlignment w:val="baseline"/>
        <w:rPr>
          <w:rFonts w:ascii="Arial" w:hAnsi="Arial" w:cs="Arial"/>
          <w:noProof/>
          <w:sz w:val="21"/>
          <w:szCs w:val="21"/>
        </w:rPr>
      </w:pPr>
      <w:r w:rsidRPr="00D5614C">
        <w:rPr>
          <w:rFonts w:ascii="Arial" w:hAnsi="Arial" w:cs="Arial"/>
          <w:noProof/>
          <w:sz w:val="21"/>
          <w:szCs w:val="21"/>
        </w:rPr>
        <w:t xml:space="preserve">Although mentioned last, the attachment matrix is certainly not the least. In optimizing a serum free medium for adherent cells, you may notice that the first time you try and withdrawal serum completely from your cells that cell adherence to the growth surface is extremely poor. Serum contains a variety of different attachment factors, such as fibronectin, that enhance cell adhesion to the culture surface as well as provide pro-survival and growth cues via integrin signaling. Thus, the removal of these factors by the deletion of serum can have adverse effects on cell growth and viability. This can be circumvented either by coating the growth surface with animal free versions of these proteins or using a growth surface with a different surface chemistry. For example, if a cell type </w:t>
      </w:r>
      <w:r w:rsidRPr="00D5614C">
        <w:rPr>
          <w:rFonts w:ascii="Arial" w:hAnsi="Arial" w:cs="Arial"/>
          <w:noProof/>
          <w:sz w:val="21"/>
          <w:szCs w:val="21"/>
        </w:rPr>
        <w:lastRenderedPageBreak/>
        <w:t>requires serum fibronectin, either animal free vitronectin or an artificial fibronectin mimetic such as Pronectin F can be used instead. Some cell types, such as fibroblasts and keratinocytes, do not require any specially treated surface. If this is the case, congratulations, you’re extremely lucky! If not, you will have to investigate which surface chemistry and attachment matrix is optimal for your serum free medium.</w:t>
      </w:r>
    </w:p>
    <w:p w:rsidR="00F8727E" w:rsidRPr="00D5614C" w:rsidRDefault="00F8727E" w:rsidP="00F8727E">
      <w:pPr>
        <w:pStyle w:val="Heading2"/>
        <w:shd w:val="clear" w:color="auto" w:fill="FFFFFF"/>
        <w:spacing w:before="0" w:line="270" w:lineRule="atLeast"/>
        <w:textAlignment w:val="baseline"/>
        <w:rPr>
          <w:rFonts w:ascii="Arial" w:hAnsi="Arial" w:cs="Arial"/>
          <w:noProof/>
          <w:color w:val="auto"/>
          <w:spacing w:val="24"/>
          <w:sz w:val="27"/>
          <w:szCs w:val="27"/>
        </w:rPr>
      </w:pPr>
      <w:r w:rsidRPr="00D5614C">
        <w:rPr>
          <w:rStyle w:val="Strong"/>
          <w:rFonts w:ascii="inherit" w:hAnsi="inherit" w:cs="Arial"/>
          <w:b/>
          <w:bCs/>
          <w:noProof/>
          <w:color w:val="auto"/>
          <w:spacing w:val="24"/>
          <w:sz w:val="27"/>
          <w:szCs w:val="27"/>
          <w:bdr w:val="none" w:sz="0" w:space="0" w:color="auto" w:frame="1"/>
        </w:rPr>
        <w:t>Concluding Remarks</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As you can see, there is absolutely nothing magical about serum free media. By starting with high quality, economical, animal free proteins such as</w:t>
      </w:r>
      <w:hyperlink r:id="rId28" w:history="1">
        <w:r w:rsidRPr="00D5614C">
          <w:rPr>
            <w:rStyle w:val="Hyperlink"/>
            <w:rFonts w:ascii="inherit" w:eastAsiaTheme="majorEastAsia" w:hAnsi="inherit" w:cs="Arial"/>
            <w:noProof/>
            <w:color w:val="auto"/>
            <w:sz w:val="21"/>
            <w:szCs w:val="21"/>
            <w:bdr w:val="none" w:sz="0" w:space="0" w:color="auto" w:frame="1"/>
          </w:rPr>
          <w:t>Cellastim</w:t>
        </w:r>
      </w:hyperlink>
      <w:r w:rsidRPr="00D5614C">
        <w:rPr>
          <w:rStyle w:val="apple-converted-space"/>
          <w:rFonts w:ascii="Arial" w:hAnsi="Arial" w:cs="Arial"/>
          <w:noProof/>
          <w:sz w:val="21"/>
          <w:szCs w:val="21"/>
        </w:rPr>
        <w:t> </w:t>
      </w:r>
      <w:r w:rsidRPr="00D5614C">
        <w:rPr>
          <w:rFonts w:ascii="Arial" w:hAnsi="Arial" w:cs="Arial"/>
          <w:noProof/>
          <w:sz w:val="21"/>
          <w:szCs w:val="21"/>
        </w:rPr>
        <w:t>and</w:t>
      </w:r>
      <w:r w:rsidRPr="00D5614C">
        <w:rPr>
          <w:rStyle w:val="apple-converted-space"/>
          <w:rFonts w:ascii="Arial" w:hAnsi="Arial" w:cs="Arial"/>
          <w:noProof/>
          <w:sz w:val="21"/>
          <w:szCs w:val="21"/>
        </w:rPr>
        <w:t> </w:t>
      </w:r>
      <w:hyperlink r:id="rId29" w:history="1">
        <w:r w:rsidRPr="00D5614C">
          <w:rPr>
            <w:rStyle w:val="Hyperlink"/>
            <w:rFonts w:ascii="inherit" w:eastAsiaTheme="majorEastAsia" w:hAnsi="inherit" w:cs="Arial"/>
            <w:noProof/>
            <w:color w:val="auto"/>
            <w:sz w:val="21"/>
            <w:szCs w:val="21"/>
            <w:bdr w:val="none" w:sz="0" w:space="0" w:color="auto" w:frame="1"/>
          </w:rPr>
          <w:t>Optiferrin</w:t>
        </w:r>
      </w:hyperlink>
      <w:r w:rsidRPr="00D5614C">
        <w:rPr>
          <w:rStyle w:val="apple-converted-space"/>
          <w:rFonts w:ascii="Arial" w:hAnsi="Arial" w:cs="Arial"/>
          <w:noProof/>
          <w:sz w:val="21"/>
          <w:szCs w:val="21"/>
        </w:rPr>
        <w:t> </w:t>
      </w:r>
      <w:r w:rsidRPr="00D5614C">
        <w:rPr>
          <w:rFonts w:ascii="Arial" w:hAnsi="Arial" w:cs="Arial"/>
          <w:noProof/>
          <w:sz w:val="21"/>
          <w:szCs w:val="21"/>
        </w:rPr>
        <w:t>, a high performance regulatory-friendly stem cell media is achievable. No fairy dust, hocus pocus, or unicorns needed.</w:t>
      </w:r>
    </w:p>
    <w:p w:rsidR="00F8727E" w:rsidRPr="00D5614C" w:rsidRDefault="00F8727E" w:rsidP="00F8727E">
      <w:pPr>
        <w:pStyle w:val="NormalWeb"/>
        <w:shd w:val="clear" w:color="auto" w:fill="FFFFFF"/>
        <w:spacing w:before="0" w:beforeAutospacing="0" w:after="0" w:afterAutospacing="0" w:line="270" w:lineRule="atLeast"/>
        <w:textAlignment w:val="baseline"/>
        <w:rPr>
          <w:rFonts w:ascii="Arial" w:hAnsi="Arial" w:cs="Arial"/>
          <w:noProof/>
          <w:sz w:val="21"/>
          <w:szCs w:val="21"/>
        </w:rPr>
      </w:pPr>
      <w:r w:rsidRPr="00D5614C">
        <w:rPr>
          <w:rFonts w:ascii="Arial" w:hAnsi="Arial" w:cs="Arial"/>
          <w:noProof/>
          <w:sz w:val="21"/>
          <w:szCs w:val="21"/>
        </w:rPr>
        <w:t>For help in optimizing your animal-free media, please feel free to contact Randall Alfano, Ph.D. at</w:t>
      </w:r>
      <w:r w:rsidRPr="00D5614C">
        <w:rPr>
          <w:rStyle w:val="apple-converted-space"/>
          <w:rFonts w:ascii="Arial" w:hAnsi="Arial" w:cs="Arial"/>
          <w:noProof/>
          <w:sz w:val="21"/>
          <w:szCs w:val="21"/>
        </w:rPr>
        <w:t> </w:t>
      </w:r>
      <w:hyperlink r:id="rId30" w:history="1">
        <w:r w:rsidRPr="00D5614C">
          <w:rPr>
            <w:rStyle w:val="Hyperlink"/>
            <w:rFonts w:ascii="inherit" w:eastAsiaTheme="majorEastAsia" w:hAnsi="inherit" w:cs="Arial"/>
            <w:noProof/>
            <w:color w:val="auto"/>
            <w:sz w:val="21"/>
            <w:szCs w:val="21"/>
            <w:bdr w:val="none" w:sz="0" w:space="0" w:color="auto" w:frame="1"/>
          </w:rPr>
          <w:t>ralfano@invitria.com</w:t>
        </w:r>
      </w:hyperlink>
    </w:p>
    <w:p w:rsidR="00F8727E" w:rsidRPr="00D5614C" w:rsidRDefault="00F8727E">
      <w:pPr>
        <w:rPr>
          <w:noProof/>
        </w:rPr>
      </w:pPr>
      <w:permStart w:id="0" w:edGrp="everyone"/>
      <w:permEnd w:id="0"/>
    </w:p>
    <w:sectPr w:rsidR="00F8727E" w:rsidRPr="00D5614C" w:rsidSect="00DE436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A7AFC"/>
    <w:multiLevelType w:val="multilevel"/>
    <w:tmpl w:val="FE20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F2480"/>
    <w:multiLevelType w:val="multilevel"/>
    <w:tmpl w:val="0BB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11738"/>
    <w:multiLevelType w:val="multilevel"/>
    <w:tmpl w:val="F684D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GTwtfNmOwYNEsbASw17Gv1xc5Q=" w:salt="kUy7f5LnlccoGddjc1Engw=="/>
  <w:defaultTabStop w:val="720"/>
  <w:characterSpacingControl w:val="doNotCompress"/>
  <w:compat>
    <w:useFELayout/>
  </w:compat>
  <w:rsids>
    <w:rsidRoot w:val="00F8727E"/>
    <w:rsid w:val="0000373D"/>
    <w:rsid w:val="00AF217A"/>
    <w:rsid w:val="00D5614C"/>
    <w:rsid w:val="00DE436A"/>
    <w:rsid w:val="00F87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6A"/>
  </w:style>
  <w:style w:type="paragraph" w:styleId="Heading1">
    <w:name w:val="heading 1"/>
    <w:basedOn w:val="Normal"/>
    <w:link w:val="Heading1Char"/>
    <w:uiPriority w:val="9"/>
    <w:qFormat/>
    <w:rsid w:val="00F87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72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72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27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8727E"/>
    <w:rPr>
      <w:b/>
      <w:bCs/>
    </w:rPr>
  </w:style>
  <w:style w:type="character" w:customStyle="1" w:styleId="Heading2Char">
    <w:name w:val="Heading 2 Char"/>
    <w:basedOn w:val="DefaultParagraphFont"/>
    <w:link w:val="Heading2"/>
    <w:uiPriority w:val="9"/>
    <w:semiHidden/>
    <w:rsid w:val="00F872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72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8727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8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27E"/>
  </w:style>
  <w:style w:type="character" w:styleId="Hyperlink">
    <w:name w:val="Hyperlink"/>
    <w:basedOn w:val="DefaultParagraphFont"/>
    <w:uiPriority w:val="99"/>
    <w:semiHidden/>
    <w:unhideWhenUsed/>
    <w:rsid w:val="00F8727E"/>
    <w:rPr>
      <w:color w:val="0000FF"/>
      <w:u w:val="single"/>
    </w:rPr>
  </w:style>
  <w:style w:type="character" w:styleId="Emphasis">
    <w:name w:val="Emphasis"/>
    <w:basedOn w:val="DefaultParagraphFont"/>
    <w:uiPriority w:val="20"/>
    <w:qFormat/>
    <w:rsid w:val="00F8727E"/>
    <w:rPr>
      <w:i/>
      <w:iCs/>
    </w:rPr>
  </w:style>
</w:styles>
</file>

<file path=word/webSettings.xml><?xml version="1.0" encoding="utf-8"?>
<w:webSettings xmlns:r="http://schemas.openxmlformats.org/officeDocument/2006/relationships" xmlns:w="http://schemas.openxmlformats.org/wordprocessingml/2006/main">
  <w:divs>
    <w:div w:id="197864656">
      <w:bodyDiv w:val="1"/>
      <w:marLeft w:val="0"/>
      <w:marRight w:val="0"/>
      <w:marTop w:val="0"/>
      <w:marBottom w:val="0"/>
      <w:divBdr>
        <w:top w:val="none" w:sz="0" w:space="0" w:color="auto"/>
        <w:left w:val="none" w:sz="0" w:space="0" w:color="auto"/>
        <w:bottom w:val="none" w:sz="0" w:space="0" w:color="auto"/>
        <w:right w:val="none" w:sz="0" w:space="0" w:color="auto"/>
      </w:divBdr>
    </w:div>
    <w:div w:id="17412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itria.com/cell-culture-products-services/zap-sr-serum-reducer/" TargetMode="External"/><Relationship Id="rId13" Type="http://schemas.openxmlformats.org/officeDocument/2006/relationships/hyperlink" Target="https://www.invitria.com/cell-culture-products-services/zap-sr-serum-reducer/" TargetMode="External"/><Relationship Id="rId18" Type="http://schemas.openxmlformats.org/officeDocument/2006/relationships/hyperlink" Target="http://www.thelancet.com/journals/lancet/article/PIIS0140-6736(04)15486-X/abstract" TargetMode="External"/><Relationship Id="rId26" Type="http://schemas.openxmlformats.org/officeDocument/2006/relationships/hyperlink" Target="https://www.invitria.com/cell-culture-products-services/optiferrin-transferrin-cell-culture-media/" TargetMode="External"/><Relationship Id="rId3" Type="http://schemas.openxmlformats.org/officeDocument/2006/relationships/settings" Target="settings.xml"/><Relationship Id="rId21" Type="http://schemas.openxmlformats.org/officeDocument/2006/relationships/hyperlink" Target="https://www.invitria.com/cell-culture-products-services/cellastim-albumin-cell-culture-media/" TargetMode="External"/><Relationship Id="rId7" Type="http://schemas.openxmlformats.org/officeDocument/2006/relationships/hyperlink" Target="https://www.invitria.com/cell-culture-products-services/zap-sr-serum-reducer/" TargetMode="External"/><Relationship Id="rId12" Type="http://schemas.openxmlformats.org/officeDocument/2006/relationships/hyperlink" Target="https://www.invitria.com/cell-culture-products-services/zap-sr-serum-reducer/" TargetMode="External"/><Relationship Id="rId17" Type="http://schemas.openxmlformats.org/officeDocument/2006/relationships/hyperlink" Target="http://www.fda.gov/BiologicsBloodVaccines/GuidanceComplianceRegulatoryInformation/Guidances/CellularandGeneTherapy/ucm072587.htm" TargetMode="External"/><Relationship Id="rId25" Type="http://schemas.openxmlformats.org/officeDocument/2006/relationships/hyperlink" Target="https://www.invitria.com/cell-culture-products-services/cellastim-albumin-cell-culture-media/" TargetMode="External"/><Relationship Id="rId2" Type="http://schemas.openxmlformats.org/officeDocument/2006/relationships/styles" Target="styles.xml"/><Relationship Id="rId16" Type="http://schemas.openxmlformats.org/officeDocument/2006/relationships/hyperlink" Target="http://www.fda.gov/BiologicsBloodVaccines/GuidanceComplianceRegulatoryInformation/Guidances/CellularandGeneTherapy/ucm072987.htm" TargetMode="External"/><Relationship Id="rId20" Type="http://schemas.openxmlformats.org/officeDocument/2006/relationships/hyperlink" Target="http://onlinelibrary.wiley.com/doi/10.1111/j.1470-8744.1996.tb00397.x/abstract" TargetMode="External"/><Relationship Id="rId29" Type="http://schemas.openxmlformats.org/officeDocument/2006/relationships/hyperlink" Target="https://www.invitria.com/cell-culture-products-services/optiferrin-transferrin-cell-culture-media/" TargetMode="External"/><Relationship Id="rId1" Type="http://schemas.openxmlformats.org/officeDocument/2006/relationships/numbering" Target="numbering.xml"/><Relationship Id="rId6" Type="http://schemas.openxmlformats.org/officeDocument/2006/relationships/hyperlink" Target="https://www.invitria.com/cell-culture-products-services/zap-sr-serum-reducer/" TargetMode="External"/><Relationship Id="rId11" Type="http://schemas.openxmlformats.org/officeDocument/2006/relationships/hyperlink" Target="http://cellculturedish.com/2014/11/wheres-beef/" TargetMode="External"/><Relationship Id="rId24" Type="http://schemas.openxmlformats.org/officeDocument/2006/relationships/hyperlink" Target="https://www.invitria.com/cell-culture-products-services/itse-animal-free-cell-culture-media/" TargetMode="External"/><Relationship Id="rId32" Type="http://schemas.openxmlformats.org/officeDocument/2006/relationships/theme" Target="theme/theme1.xml"/><Relationship Id="rId5" Type="http://schemas.openxmlformats.org/officeDocument/2006/relationships/hyperlink" Target="http://cellculturedish.com/2015/03/cell-therapy-are-we-there-yet/" TargetMode="External"/><Relationship Id="rId15" Type="http://schemas.openxmlformats.org/officeDocument/2006/relationships/hyperlink" Target="http://www.fda.gov/BiologicsBloodVaccines/GuidanceComplianceRegulatoryInformation/Guidances/CellularandGeneTherapy/ucm072587.htm" TargetMode="External"/><Relationship Id="rId23" Type="http://schemas.openxmlformats.org/officeDocument/2006/relationships/hyperlink" Target="http://www.ncbi.nlm.nih.gov/pubmed/23010327" TargetMode="External"/><Relationship Id="rId28" Type="http://schemas.openxmlformats.org/officeDocument/2006/relationships/hyperlink" Target="https://www.invitria.com/cell-culture-products-services/cellastim-albumin-cell-culture-media/" TargetMode="External"/><Relationship Id="rId10" Type="http://schemas.openxmlformats.org/officeDocument/2006/relationships/hyperlink" Target="http://cellculturedish.com/2014/11/wheres-beef/" TargetMode="External"/><Relationship Id="rId19" Type="http://schemas.openxmlformats.org/officeDocument/2006/relationships/hyperlink" Target="http://onlinelibrary.wiley.com/doi/10.1634/stemcells.2007-0127/fu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llculturedish.com/2014/11/wheres-beef/" TargetMode="External"/><Relationship Id="rId14" Type="http://schemas.openxmlformats.org/officeDocument/2006/relationships/hyperlink" Target="http://www.ncbi.nlm.nih.gov/pubmed/10616181" TargetMode="External"/><Relationship Id="rId22" Type="http://schemas.openxmlformats.org/officeDocument/2006/relationships/hyperlink" Target="https://www.invitria.com/cell-culture-products-services/optiferrin-transferrin-cell-culture-media/" TargetMode="External"/><Relationship Id="rId27" Type="http://schemas.openxmlformats.org/officeDocument/2006/relationships/hyperlink" Target="https://www.invitria.com/cell-culture-products-services/itse-animal-free-cell-culture-media/" TargetMode="External"/><Relationship Id="rId30" Type="http://schemas.openxmlformats.org/officeDocument/2006/relationships/hyperlink" Target="mailto:ralfano@invit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2691</Words>
  <Characters>15343</Characters>
  <Application>Microsoft Office Word</Application>
  <DocSecurity>8</DocSecurity>
  <Lines>127</Lines>
  <Paragraphs>35</Paragraphs>
  <ScaleCrop>false</ScaleCrop>
  <Company/>
  <LinksUpToDate>false</LinksUpToDate>
  <CharactersWithSpaces>17999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2015-06-12T01:54:00Z</dcterms:created>
  <dcterms:modified xsi:type="dcterms:W3CDTF">2015-06-28T05:34:00Z</dcterms:modified>
</cp:coreProperties>
</file>